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17" w:rsidRPr="000B2A17" w:rsidRDefault="000F3B33" w:rsidP="00774E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55068947"/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0B2A17" w:rsidRPr="000B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:rsidR="00774E34" w:rsidRDefault="00774E34" w:rsidP="00774E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 </w:t>
      </w:r>
    </w:p>
    <w:p w:rsidR="000B2A17" w:rsidRPr="000B2A17" w:rsidRDefault="00774E34" w:rsidP="00774E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01.07.2015</w:t>
      </w:r>
      <w:r w:rsidR="000B2A17" w:rsidRPr="000B2A17">
        <w:rPr>
          <w:rFonts w:ascii="Times New Roman" w:eastAsia="Times New Roman" w:hAnsi="Times New Roman" w:cs="Times New Roman"/>
          <w:sz w:val="24"/>
          <w:szCs w:val="24"/>
        </w:rPr>
        <w:t xml:space="preserve"> №___</w:t>
      </w:r>
    </w:p>
    <w:p w:rsidR="000B2A17" w:rsidRPr="00774E34" w:rsidRDefault="000B2A17" w:rsidP="00774E3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E34">
        <w:rPr>
          <w:rFonts w:ascii="Times New Roman" w:eastAsia="Times New Roman" w:hAnsi="Times New Roman" w:cs="Times New Roman"/>
          <w:b/>
          <w:sz w:val="24"/>
          <w:szCs w:val="24"/>
        </w:rPr>
        <w:t>Система классификации информации,</w:t>
      </w:r>
    </w:p>
    <w:p w:rsidR="000B2A17" w:rsidRPr="00774E34" w:rsidRDefault="000B2A17" w:rsidP="00774E3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E34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774E34">
        <w:rPr>
          <w:rFonts w:ascii="Times New Roman" w:eastAsia="Times New Roman" w:hAnsi="Times New Roman" w:cs="Times New Roman"/>
          <w:b/>
          <w:sz w:val="24"/>
          <w:szCs w:val="24"/>
        </w:rPr>
        <w:t>имеющей</w:t>
      </w:r>
      <w:proofErr w:type="gramEnd"/>
      <w:r w:rsidRPr="00774E34">
        <w:rPr>
          <w:rFonts w:ascii="Times New Roman" w:eastAsia="Times New Roman" w:hAnsi="Times New Roman" w:cs="Times New Roman"/>
          <w:b/>
          <w:sz w:val="24"/>
          <w:szCs w:val="24"/>
        </w:rPr>
        <w:t xml:space="preserve"> отношения к образовательному процессу</w:t>
      </w:r>
    </w:p>
    <w:p w:rsidR="000B2A17" w:rsidRPr="000B2A17" w:rsidRDefault="000B2A17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B2A1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B2A17">
        <w:rPr>
          <w:rFonts w:ascii="Cambria Math" w:eastAsia="Times New Roman" w:hAnsi="Cambria Math" w:cs="Times New Roman"/>
          <w:sz w:val="24"/>
          <w:szCs w:val="24"/>
        </w:rPr>
        <w:t>​</w:t>
      </w:r>
      <w:r w:rsidRPr="000B2A17">
        <w:rPr>
          <w:rFonts w:ascii="Times New Roman" w:eastAsia="Times New Roman" w:hAnsi="Times New Roman" w:cs="Times New Roman"/>
          <w:sz w:val="24"/>
          <w:szCs w:val="24"/>
        </w:rPr>
        <w:t> 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</w:t>
      </w:r>
    </w:p>
    <w:p w:rsidR="000B2A17" w:rsidRPr="000B2A17" w:rsidRDefault="000B2A17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B2A1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B2A17">
        <w:rPr>
          <w:rFonts w:ascii="Cambria Math" w:eastAsia="Times New Roman" w:hAnsi="Cambria Math" w:cs="Times New Roman"/>
          <w:sz w:val="24"/>
          <w:szCs w:val="24"/>
        </w:rPr>
        <w:t>​</w:t>
      </w:r>
      <w:r w:rsidRPr="000B2A17">
        <w:rPr>
          <w:rFonts w:ascii="Times New Roman" w:eastAsia="Times New Roman" w:hAnsi="Times New Roman" w:cs="Times New Roman"/>
          <w:sz w:val="24"/>
          <w:szCs w:val="24"/>
        </w:rPr>
        <w:t xml:space="preserve"> Классификатор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</w:t>
      </w:r>
      <w:proofErr w:type="spellStart"/>
      <w:r w:rsidRPr="000B2A17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0B2A17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автономного округа и иных обстоятельств. </w:t>
      </w:r>
    </w:p>
    <w:p w:rsidR="000B2A17" w:rsidRPr="000B2A17" w:rsidRDefault="000B2A17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B2A1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B2A17">
        <w:rPr>
          <w:rFonts w:ascii="Cambria Math" w:eastAsia="Times New Roman" w:hAnsi="Cambria Math" w:cs="Times New Roman"/>
          <w:sz w:val="24"/>
          <w:szCs w:val="24"/>
        </w:rPr>
        <w:t>​</w:t>
      </w:r>
      <w:r w:rsidRPr="000B2A17">
        <w:rPr>
          <w:rFonts w:ascii="Times New Roman" w:eastAsia="Times New Roman" w:hAnsi="Times New Roman" w:cs="Times New Roman"/>
          <w:sz w:val="24"/>
          <w:szCs w:val="24"/>
        </w:rPr>
        <w:t> В соответствии с законодательством Российской Федерации образовательное учреждение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</w:t>
      </w:r>
    </w:p>
    <w:p w:rsidR="000B2A17" w:rsidRPr="000B2A17" w:rsidRDefault="000B2A17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B2A17">
        <w:rPr>
          <w:rFonts w:ascii="Times New Roman" w:eastAsia="Times New Roman" w:hAnsi="Times New Roman" w:cs="Times New Roman"/>
          <w:sz w:val="24"/>
          <w:szCs w:val="24"/>
        </w:rP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0B2A17" w:rsidRPr="000B2A17" w:rsidRDefault="000B2A17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B2A17" w:rsidRPr="000B2A17" w:rsidRDefault="000B2A17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B2A17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0B2A17" w:rsidRPr="000B2A17" w:rsidRDefault="00774E34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Совета трудового коллектива</w:t>
      </w:r>
      <w:r w:rsidR="000B2A17" w:rsidRPr="000B2A1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регламентации </w:t>
      </w:r>
    </w:p>
    <w:p w:rsidR="000B2A17" w:rsidRPr="000B2A17" w:rsidRDefault="000B2A17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B2A17">
        <w:rPr>
          <w:rFonts w:ascii="Times New Roman" w:eastAsia="Times New Roman" w:hAnsi="Times New Roman" w:cs="Times New Roman"/>
          <w:sz w:val="24"/>
          <w:szCs w:val="24"/>
        </w:rPr>
        <w:t>доступа к информации в Интернете</w:t>
      </w:r>
    </w:p>
    <w:p w:rsidR="000B2A17" w:rsidRDefault="00774E34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proofErr w:type="gramStart"/>
      <w:r w:rsidR="000B2A17" w:rsidRPr="000B2A1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0B2A17" w:rsidRPr="000B2A17">
        <w:rPr>
          <w:rFonts w:ascii="Times New Roman" w:eastAsia="Times New Roman" w:hAnsi="Times New Roman" w:cs="Times New Roman"/>
          <w:sz w:val="24"/>
          <w:szCs w:val="24"/>
        </w:rPr>
        <w:t xml:space="preserve"> _____________№_____</w:t>
      </w:r>
    </w:p>
    <w:p w:rsidR="00774E34" w:rsidRPr="000B2A17" w:rsidRDefault="00774E34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B2A17" w:rsidRPr="00774E34" w:rsidRDefault="000B2A17" w:rsidP="00774E3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E34">
        <w:rPr>
          <w:rFonts w:ascii="Times New Roman" w:eastAsia="Times New Roman" w:hAnsi="Times New Roman" w:cs="Times New Roman"/>
          <w:b/>
          <w:sz w:val="24"/>
          <w:szCs w:val="24"/>
        </w:rPr>
        <w:t>Классификатор информации, распространение которой</w:t>
      </w:r>
    </w:p>
    <w:p w:rsidR="000B2A17" w:rsidRPr="00774E34" w:rsidRDefault="000B2A17" w:rsidP="00774E3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E34">
        <w:rPr>
          <w:rFonts w:ascii="Times New Roman" w:eastAsia="Times New Roman" w:hAnsi="Times New Roman" w:cs="Times New Roman"/>
          <w:b/>
          <w:sz w:val="24"/>
          <w:szCs w:val="24"/>
        </w:rPr>
        <w:t>запрещено в соответствии с законодательством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139"/>
        <w:gridCol w:w="5748"/>
      </w:tblGrid>
      <w:tr w:rsidR="000B2A17" w:rsidRPr="000B2A17" w:rsidTr="000B2A17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0B2A17" w:rsidRPr="000B2A17" w:rsidTr="00774E3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Злоупотребление свободой СМИ — экстремизм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0B2A17" w:rsidRPr="000B2A17" w:rsidTr="00774E3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Злоупотребление свободой СМИ — наркотические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контртеррористических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  <w:tr w:rsidR="000B2A17" w:rsidRPr="000B2A17" w:rsidTr="00774E3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Злоупотребление свободой СМИ — скрытое воздействие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содержащая скрытые вставки и иные технические способы воздействия на подсознание людей и (или) оказывающая вредное влияние на их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террористической деятельности либо публичное оправдание терроризма;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унижение национального достоинства;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8C5FE9" w:rsidRPr="000B2A17" w:rsidTr="009168E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Вредоносные программы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  <w:p w:rsidR="008C5FE9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оскорбление (унижение чести и достоинства другого лица, выраженное в неприличной форме);</w:t>
            </w:r>
          </w:p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призывы к осуществлению террористической деятельности или публичное оправдание терроризма;</w:t>
            </w:r>
          </w:p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к потреблению наркотических средств и психотропных веществ;</w:t>
            </w:r>
          </w:p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незаконное распространение или рекламирование порнографических материалов;</w:t>
            </w:r>
          </w:p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призывы к осуществлению экстремистской деятельности;</w:t>
            </w:r>
          </w:p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призывы к развязыванию агрессивной войны</w:t>
            </w:r>
          </w:p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  <w:tr w:rsidR="008C5FE9" w:rsidRPr="000B2A17" w:rsidTr="0087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FE9" w:rsidRPr="000B2A17" w:rsidTr="00D71E5D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Ненадлежащая реклама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FE9" w:rsidRPr="000B2A17" w:rsidTr="008C5FE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с ограниченным доступом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E9" w:rsidRPr="000B2A17" w:rsidRDefault="008C5FE9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A17" w:rsidRDefault="000B2A17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B2A17" w:rsidRPr="000B2A17" w:rsidRDefault="000B2A17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B2A17" w:rsidRPr="000B2A17" w:rsidRDefault="000B2A17" w:rsidP="000F3B3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2A17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0F3B33" w:rsidRDefault="008C5FE9" w:rsidP="000F3B3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трудового коллектива </w:t>
      </w:r>
    </w:p>
    <w:p w:rsidR="000B2A17" w:rsidRPr="000B2A17" w:rsidRDefault="000B2A17" w:rsidP="000F3B3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2A1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регламентации </w:t>
      </w:r>
    </w:p>
    <w:p w:rsidR="000B2A17" w:rsidRPr="000B2A17" w:rsidRDefault="000B2A17" w:rsidP="000F3B3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2A17">
        <w:rPr>
          <w:rFonts w:ascii="Times New Roman" w:eastAsia="Times New Roman" w:hAnsi="Times New Roman" w:cs="Times New Roman"/>
          <w:sz w:val="24"/>
          <w:szCs w:val="24"/>
        </w:rPr>
        <w:t>доступа к информации в Интернете</w:t>
      </w:r>
    </w:p>
    <w:p w:rsidR="000B2A17" w:rsidRDefault="008C5FE9" w:rsidP="000F3B3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proofErr w:type="gramStart"/>
      <w:r w:rsidR="000B2A17" w:rsidRPr="000B2A1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0B2A17" w:rsidRPr="000B2A17">
        <w:rPr>
          <w:rFonts w:ascii="Times New Roman" w:eastAsia="Times New Roman" w:hAnsi="Times New Roman" w:cs="Times New Roman"/>
          <w:sz w:val="24"/>
          <w:szCs w:val="24"/>
        </w:rPr>
        <w:t xml:space="preserve"> _____________№_____</w:t>
      </w:r>
    </w:p>
    <w:p w:rsidR="008C5FE9" w:rsidRPr="000B2A17" w:rsidRDefault="008C5FE9" w:rsidP="000B2A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B2A17" w:rsidRPr="008C5FE9" w:rsidRDefault="000B2A17" w:rsidP="008C5F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FE9">
        <w:rPr>
          <w:rFonts w:ascii="Times New Roman" w:eastAsia="Times New Roman" w:hAnsi="Times New Roman" w:cs="Times New Roman"/>
          <w:b/>
          <w:sz w:val="24"/>
          <w:szCs w:val="24"/>
        </w:rPr>
        <w:t>Классификатор информации,</w:t>
      </w:r>
    </w:p>
    <w:p w:rsidR="000B2A17" w:rsidRDefault="000B2A17" w:rsidP="008C5F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FE9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8C5FE9">
        <w:rPr>
          <w:rFonts w:ascii="Times New Roman" w:eastAsia="Times New Roman" w:hAnsi="Times New Roman" w:cs="Times New Roman"/>
          <w:b/>
          <w:sz w:val="24"/>
          <w:szCs w:val="24"/>
        </w:rPr>
        <w:t>имеющей</w:t>
      </w:r>
      <w:proofErr w:type="gramEnd"/>
      <w:r w:rsidRPr="008C5FE9">
        <w:rPr>
          <w:rFonts w:ascii="Times New Roman" w:eastAsia="Times New Roman" w:hAnsi="Times New Roman" w:cs="Times New Roman"/>
          <w:b/>
          <w:sz w:val="24"/>
          <w:szCs w:val="24"/>
        </w:rPr>
        <w:t xml:space="preserve"> отношения к образовательному процессу</w:t>
      </w:r>
    </w:p>
    <w:p w:rsidR="008C5FE9" w:rsidRPr="008C5FE9" w:rsidRDefault="008C5FE9" w:rsidP="008C5F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155"/>
        <w:gridCol w:w="5732"/>
      </w:tblGrid>
      <w:tr w:rsidR="000B2A17" w:rsidRPr="000B2A17" w:rsidTr="000B2A17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0B2A17" w:rsidRPr="000B2A17" w:rsidTr="008C5FE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0B2A17" w:rsidRPr="000B2A17" w:rsidTr="008C5FE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Баннерные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сети, всплывающая реклама, рекламные программы</w:t>
            </w:r>
          </w:p>
        </w:tc>
      </w:tr>
      <w:tr w:rsidR="000B2A17" w:rsidRPr="000B2A17" w:rsidTr="008C5F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 и автомобили 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развлечения 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информация: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рейтинги открыток, гороскопов, сонников;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гадания, магия и астрология;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туризм, путешествия;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тосты, поздравления;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кроссворды,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ответы к ним;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фантастика;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кулинария, рецепты, диеты;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мода, одежда, обувь, модные аксессуары, показы мод;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студенческой жизни, музыке и музыкальных направлениях, группах, увлечениях, хобби, коллекционировании;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службах знакомств, размещении объявлений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анекдоты, «приколы», слухи;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 сайтах и журналах для женщин и для мужчин;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желтая пресса,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онлайн-ТВ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онлайн-радио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знаменитостях;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 косметике, парфюмерии, прическах, ювелирных украшениях.</w:t>
            </w:r>
          </w:p>
        </w:tc>
      </w:tr>
      <w:tr w:rsidR="000B2A17" w:rsidRPr="000B2A17" w:rsidTr="00B16D9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медицина 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9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к образовательному процессу</w:t>
            </w:r>
            <w:r w:rsidR="00B16D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6D97" w:rsidRDefault="000B2A17" w:rsidP="00B16D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 шейпинге, фигуре, похудении, медицине, медицинских учреждениях, </w:t>
            </w:r>
          </w:p>
          <w:p w:rsidR="000B2A17" w:rsidRPr="000B2A17" w:rsidRDefault="000B2A17" w:rsidP="00B16D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к другим категориям (порнография, трупы и т.п.)</w:t>
            </w:r>
          </w:p>
        </w:tc>
      </w:tr>
      <w:tr w:rsidR="00B16D97" w:rsidRPr="000B2A17" w:rsidTr="00B16D97">
        <w:trPr>
          <w:trHeight w:val="1531"/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16D97" w:rsidRPr="000B2A17" w:rsidRDefault="00B16D9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16D97" w:rsidRPr="000B2A17" w:rsidRDefault="00B16D9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игры (ресурсы данной категории, </w:t>
            </w:r>
            <w:proofErr w:type="gramEnd"/>
          </w:p>
          <w:p w:rsidR="00B16D97" w:rsidRPr="000B2A17" w:rsidRDefault="00B16D9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97" w:rsidRPr="000B2A17" w:rsidRDefault="00B16D9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оффлайновые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0B2A17" w:rsidRPr="000B2A17" w:rsidTr="00B16D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Корпоративные сайты, </w:t>
            </w:r>
            <w:proofErr w:type="spellStart"/>
            <w:proofErr w:type="gram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негосударственных учреждений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0B2A17" w:rsidRPr="000B2A17" w:rsidTr="00B16D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Личная и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немодерируемая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Немодерируемые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блоги</w:t>
            </w:r>
            <w:proofErr w:type="spellEnd"/>
            <w:proofErr w:type="gramEnd"/>
          </w:p>
        </w:tc>
      </w:tr>
      <w:tr w:rsidR="000B2A17" w:rsidRPr="000B2A17" w:rsidTr="00B16D9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Отправка SMS с использованием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Сайты, предлагающие услуги по отправке SMS-сообщений </w:t>
            </w:r>
          </w:p>
        </w:tc>
      </w:tr>
      <w:tr w:rsidR="000B2A17" w:rsidRPr="000B2A17" w:rsidTr="00B16D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доски объявлений</w:t>
            </w:r>
          </w:p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доски сообщений/объявлений, а также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чаты </w:t>
            </w:r>
          </w:p>
        </w:tc>
      </w:tr>
      <w:tr w:rsidR="000B2A17" w:rsidRPr="000B2A17" w:rsidTr="00B16D9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Нелегальная помощь школьникам и студентам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готовых рефератов, эссе, дипломных работ и пр.</w:t>
            </w:r>
          </w:p>
        </w:tc>
      </w:tr>
      <w:tr w:rsidR="000B2A17" w:rsidRPr="000B2A17" w:rsidTr="00B16D9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Неприличный и грубый юмор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0B2A17" w:rsidRPr="000B2A17" w:rsidTr="00B16D9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белье, купальники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Сайты, на которых рекламируется и изображается нижнее белье и купальники</w:t>
            </w:r>
          </w:p>
        </w:tc>
      </w:tr>
      <w:tr w:rsidR="000B2A17" w:rsidRPr="000B2A17" w:rsidTr="00B16D9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анонимности пользователя, обход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контентных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Сайты, предлагающие инструкции по обходу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доступу к запрещенным страницам;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Peer-to-Peer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0B2A17" w:rsidRPr="000B2A17" w:rsidTr="00B16D9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Онлайн-казино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тотализаторы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казино, тотализаторы, игры на деньги, конкурсы и пр.</w:t>
            </w:r>
          </w:p>
        </w:tc>
      </w:tr>
      <w:tr w:rsidR="000B2A17" w:rsidRPr="000B2A17" w:rsidTr="0008734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сайты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работы, резюме, вакансии 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кадровых агентств, банки вакансий и резюме</w:t>
            </w: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системы 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интернет-каталоги</w:t>
            </w:r>
            <w:proofErr w:type="spellEnd"/>
            <w:proofErr w:type="gram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системы поиска и навигации в Интернете</w:t>
            </w:r>
          </w:p>
        </w:tc>
      </w:tr>
      <w:tr w:rsidR="000B2A17" w:rsidRPr="000B2A17" w:rsidTr="0008734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 и атеизм 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0B2A17" w:rsidRPr="000B2A17" w:rsidTr="0008734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0B2A17" w:rsidRPr="000B2A17" w:rsidTr="0008734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СМИ 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Табак, реклама табака, пропаганда потребления табака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0B2A17" w:rsidRPr="000B2A17" w:rsidTr="0008734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и реклама 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интернет-магазины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0B2A17" w:rsidRPr="000B2A17" w:rsidTr="0008734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Убийства, насилие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0B2A17" w:rsidRPr="000B2A17" w:rsidTr="000B2A1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Чаты 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7" w:rsidRPr="000B2A17" w:rsidRDefault="000B2A17" w:rsidP="000B2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B2A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38BF" w:rsidRPr="000B2A17" w:rsidRDefault="009438BF" w:rsidP="000B2A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38BF" w:rsidRPr="000B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2A17"/>
    <w:rsid w:val="0008734E"/>
    <w:rsid w:val="000B2A17"/>
    <w:rsid w:val="000F3B33"/>
    <w:rsid w:val="00774E34"/>
    <w:rsid w:val="008C5FE9"/>
    <w:rsid w:val="009438BF"/>
    <w:rsid w:val="00B1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B2A17"/>
  </w:style>
  <w:style w:type="paragraph" w:customStyle="1" w:styleId="p3">
    <w:name w:val="p3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B2A17"/>
  </w:style>
  <w:style w:type="paragraph" w:customStyle="1" w:styleId="p5">
    <w:name w:val="p5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B2A17"/>
  </w:style>
  <w:style w:type="paragraph" w:customStyle="1" w:styleId="p10">
    <w:name w:val="p10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B2A17"/>
  </w:style>
  <w:style w:type="paragraph" w:customStyle="1" w:styleId="p13">
    <w:name w:val="p13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0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B2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269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9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2015-07-06T05:14:00Z</dcterms:created>
  <dcterms:modified xsi:type="dcterms:W3CDTF">2015-07-06T05:38:00Z</dcterms:modified>
</cp:coreProperties>
</file>